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2012 32 / 195 vom 23. Dezember 2011</w:t>
      </w:r>
    </w:p>
    <w:p>
      <w:r>
        <w:t>BL Gerichte, 2011-12-23, DE</w:t>
      </w:r>
    </w:p>
    <w:p>
      <w:r>
        <w:rPr>
          <w:b/>
        </w:rPr>
        <w:t xml:space="preserve">Quelle: </w:t>
      </w:r>
      <w:r>
        <w:t>https://mcp.opencaselaw.ch/entscheid/bl_gerichte_720 2012 32 _ 195</w:t>
      </w:r>
    </w:p>
    <w:p>
      <w:r>
        <w:t>FR: BL_GERICHTE 720 2012 32 / 195 du 23 décembre 2011</w:t>
      </w:r>
    </w:p>
    <w:p>
      <w:r>
        <w:t>IT: BL_GERICHTE 720 2012 32 / 195 del 23 dicembre 2011</w:t>
      </w:r>
    </w:p>
    <w:p>
      <w:pPr>
        <w:pStyle w:val="Heading2"/>
      </w:pPr>
      <w:r>
        <w:t>Regeste</w:t>
      </w:r>
    </w:p>
    <w:p>
      <w:r>
        <w:t>Unentgeltliche Verbeiständung; Rechtsverweigerung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in der Höhe von Fr. 600.-- werden dem Beschwerdeführer auferlegt. Zufolge Bewilligung der unentgeltlichen Prozessführung gehen die Verfahrenskosten zu Lasten der Gerichtskasse.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des Beschwerdeführers ein Honorar in der Höhe von Fr. 2'115.05 (inkl. Auslagen und 8%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